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exact"/>
        <w:jc w:val="center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lang w:eastAsia="zh-CN"/>
        </w:rPr>
        <w:t>竞争性谈判邀请书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一、编号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JGJS-JY-GCZB-2025-01-019</w:t>
      </w:r>
    </w:p>
    <w:p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二、项目名称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zh-CN" w:eastAsia="zh-CN"/>
        </w:rPr>
        <w:t>：济钢建设公司夏季四防安全隐患整改项目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三、项目说明及建设范围:</w:t>
      </w:r>
    </w:p>
    <w:p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1.项目名称：济钢建设公司夏季四防安全隐患整改项目</w:t>
      </w:r>
    </w:p>
    <w:p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2.工程明细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</w:p>
    <w:tbl>
      <w:tblPr>
        <w:tblStyle w:val="5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436"/>
        <w:gridCol w:w="5639"/>
        <w:gridCol w:w="1168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园区大厂房雨水落水管破裂隐患整改</w:t>
            </w: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落水管更换、加固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1.原有塑料落水管拆除更换，含配件安装固定；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2.材质：硬聚氯乙烯PVC-U雨落水管；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3.型号：外径DN160mm；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4.壁厚：3.75mm;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5.部分雨水斗综合考虑。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6.垃圾清理及外运综合考虑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园区大厂房女儿墙落水口打孔</w:t>
            </w:r>
          </w:p>
        </w:tc>
        <w:tc>
          <w:tcPr>
            <w:tcW w:w="56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1、女儿墙重新开孔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2、安装排水管、封堵、防水处理、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3、登高车，垃圾清运综合考虑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0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园区大厂房漏雨隐患整改</w:t>
            </w: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建设公司园区B2办公楼（大厂房）漏雨整改：热熔4mm厚，负20度，聚酯胎，铝膜面，SBS卷材防水一层（采购人指定品牌为东方雨虹）。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建设公司园区排水防涝排水沟维修</w:t>
            </w: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园区排水沟维修、清淤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1.专用设备疏通地下管道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2.更换部分损坏的漏水格栅盖板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3.清理淤泥及外运综合考虑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4.停车场截水沟拆除砌筑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5.停车场截水沟埋300波纹管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建设公司、相公庄园区排水防涝管道淤泥疏通</w:t>
            </w: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园区地下管道疏通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20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1、专用设备疏通地下管道。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2、DN200等支路系列管径。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3、清理污泥并外运。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4、清理运输过程无滴漏、洒落，完工后场地清理干净。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夏季四防园区建筑物漏雨隐患整修</w:t>
            </w: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考试中心墙体粉刷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1.清理基层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2、刮腻子，刷乳胶漆</w:t>
            </w: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相公庄园区值班室房顶</w:t>
            </w:r>
          </w:p>
        </w:tc>
        <w:tc>
          <w:tcPr>
            <w:tcW w:w="56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1、房顶铝塑板脱落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2、松动的进行加固，已脱落的换新。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3、登高车，垃圾清运综合考虑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200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after="0" w:line="48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备注：以上单价及合价均为含增值税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  <w:t>9%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的价格，如遇国家税率调整，税率及时进行调整，不含税价格不变。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签订合同15个自然日内.</w:t>
      </w:r>
    </w:p>
    <w:p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四、施工单位资格要求：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1.在中国境内注册并具有独立法人资格的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一般纳税人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合法企业单位。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1.在中国境内注册并具有独立法人资格的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一般纳税人</w:t>
      </w:r>
      <w:r>
        <w:rPr>
          <w:rFonts w:hint="eastAsia" w:ascii="仿宋" w:hAnsi="仿宋" w:eastAsia="仿宋" w:cs="仿宋"/>
          <w:bCs/>
          <w:sz w:val="28"/>
          <w:szCs w:val="28"/>
          <w:lang w:val="zh-CN" w:eastAsia="zh-CN"/>
        </w:rPr>
        <w:t>合法企业单位。</w:t>
      </w:r>
    </w:p>
    <w:p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zh-CN" w:eastAsia="zh-CN"/>
        </w:rPr>
        <w:t>2.项目要求：施工单位需具有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zh-CN" w:eastAsia="zh-CN"/>
        </w:rPr>
        <w:t>建筑工程施工总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  <w:t>承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zh-CN" w:eastAsia="zh-CN"/>
        </w:rPr>
        <w:t>包</w:t>
      </w:r>
      <w:r>
        <w:rPr>
          <w:rFonts w:hint="default" w:ascii="仿宋" w:hAnsi="仿宋" w:eastAsia="仿宋" w:cs="仿宋"/>
          <w:b/>
          <w:bCs w:val="0"/>
          <w:sz w:val="28"/>
          <w:szCs w:val="28"/>
          <w:u w:val="single"/>
          <w:lang w:val="zh-CN" w:eastAsia="zh-CN"/>
        </w:rPr>
        <w:t>资质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zh-CN" w:eastAsia="zh-CN"/>
        </w:rPr>
        <w:t>，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en-US" w:eastAsia="zh-CN"/>
        </w:rPr>
        <w:t>建筑施工劳务资质，防水工程施工资质，建筑材料销售许可，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single"/>
          <w:lang w:val="zh-CN" w:eastAsia="zh-CN"/>
        </w:rPr>
        <w:t>具有建设行政主管部门颁发的有效安全生产许可证，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供应的全部货物必须提供质量合格证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lang w:val="en-US" w:eastAsia="zh-CN"/>
        </w:rPr>
        <w:t>明的全部资料。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zh-CN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.施工单位在人员、设备、资金等方面具有相应的技术能力和良好的财务能力，具有良好的银行资信和商业信誉及健全的财务会计制度，没有处于被责令停业、资产被重组、接管、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冻结及破产状态。</w:t>
      </w:r>
    </w:p>
    <w:p>
      <w:pPr>
        <w:spacing w:after="0" w:line="48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4.施工单位应具有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履行合同必需的设备、专业技术、资质能力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autoSpaceDE w:val="0"/>
        <w:autoSpaceDN w:val="0"/>
        <w:adjustRightInd w:val="0"/>
        <w:spacing w:after="0" w:line="480" w:lineRule="exact"/>
        <w:ind w:firstLine="560" w:firstLineChars="200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5.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有依法缴纳税收和社会保障金的良好纪录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6.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企业业绩：近三年完成过类似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制作供应1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个及以上的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相关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业绩（以投标人签订合同或中标通知书等证明材料日期为准）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.本项目不接受联合体投标。</w:t>
      </w:r>
    </w:p>
    <w:p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在经营活动中没有违法记录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单位负责人为同一人或者存在控股、管理关系的不同单位，或同一母公司的子公司，不能同时参加谈判。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28"/>
          <w:szCs w:val="28"/>
          <w:lang w:val="zh-CN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谈判文件获取:</w:t>
      </w:r>
    </w:p>
    <w:p>
      <w:pPr>
        <w:spacing w:after="0" w:line="48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登录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instrText xml:space="preserve"> HYPERLINK "http://www.jigang.com.cn-济钢阳光购销管理平台或bidding.jigang.com.cn"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www.jigang.com.cn-济钢阳光购销管理平台或bidding.jigang.com.cn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网上报名。使用指南可在网站首页“帮助中心”下载，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响应单位通过济钢集团阳光购销平台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报名成功并缴纳标书费，经采购人确认后可下载招标文件。</w:t>
      </w:r>
    </w:p>
    <w:p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2）标书费：200元，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售后不退。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请报名单位将标书费缴至第八条所述账户，并在备注中注明xxx项目标书费，并将缴款凭证发至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instrText xml:space="preserve"> HYPERLINK "mailto:jgjtsdjs@136.com"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jgjtsdjs@163.com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邮箱。</w:t>
      </w:r>
    </w:p>
    <w:p>
      <w:p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谈判控制价</w:t>
      </w:r>
    </w:p>
    <w:p>
      <w:pPr>
        <w:spacing w:after="0" w:line="480" w:lineRule="exact"/>
        <w:ind w:firstLine="1120" w:firstLineChars="4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详见谈判文件“施工单位须知前附表”，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投标报价总价不得超出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人设定的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谈判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控制价总价，否则视为无效报价，不参与评审。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2" w:firstLineChars="200"/>
        <w:outlineLvl w:val="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八、谈判</w:t>
      </w:r>
      <w:r>
        <w:rPr>
          <w:rFonts w:hint="eastAsia" w:ascii="仿宋_GB2312" w:eastAsia="仿宋_GB2312"/>
          <w:b/>
          <w:bCs/>
          <w:sz w:val="28"/>
          <w:szCs w:val="28"/>
        </w:rPr>
        <w:t>人账户：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  <w:lang w:val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zh-CN"/>
        </w:rPr>
        <w:t xml:space="preserve">账 </w:t>
      </w:r>
      <w:r>
        <w:rPr>
          <w:rFonts w:ascii="仿宋_GB2312" w:eastAsia="仿宋_GB2312"/>
          <w:sz w:val="28"/>
          <w:szCs w:val="28"/>
          <w:highlight w:val="none"/>
          <w:lang w:val="zh-CN"/>
        </w:rPr>
        <w:t xml:space="preserve"> </w:t>
      </w:r>
      <w:r>
        <w:rPr>
          <w:rFonts w:hint="eastAsia" w:ascii="仿宋_GB2312" w:eastAsia="仿宋_GB2312"/>
          <w:sz w:val="28"/>
          <w:szCs w:val="28"/>
          <w:highlight w:val="none"/>
          <w:lang w:val="zh-CN"/>
        </w:rPr>
        <w:t>户：济钢集团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山东建设工程</w:t>
      </w:r>
      <w:r>
        <w:rPr>
          <w:rFonts w:hint="eastAsia" w:ascii="仿宋_GB2312" w:eastAsia="仿宋_GB2312"/>
          <w:sz w:val="28"/>
          <w:szCs w:val="28"/>
          <w:highlight w:val="none"/>
          <w:lang w:val="zh-CN"/>
        </w:rPr>
        <w:t>有限公司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zh-CN"/>
        </w:rPr>
        <w:t>开户行：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工行济南东郊支行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val="zh-CN"/>
        </w:rPr>
        <w:t xml:space="preserve">账 </w:t>
      </w:r>
      <w:r>
        <w:rPr>
          <w:rFonts w:ascii="仿宋_GB2312" w:eastAsia="仿宋_GB2312"/>
          <w:sz w:val="28"/>
          <w:szCs w:val="28"/>
          <w:highlight w:val="none"/>
          <w:lang w:val="zh-CN"/>
        </w:rPr>
        <w:t xml:space="preserve"> </w:t>
      </w:r>
      <w:r>
        <w:rPr>
          <w:rFonts w:hint="eastAsia" w:ascii="仿宋_GB2312" w:eastAsia="仿宋_GB2312"/>
          <w:sz w:val="28"/>
          <w:szCs w:val="28"/>
          <w:highlight w:val="none"/>
          <w:lang w:val="zh-CN"/>
        </w:rPr>
        <w:t>号：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1602 0034 0902 2100 674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、响应文件的递交</w:t>
      </w:r>
    </w:p>
    <w:p>
      <w:pPr>
        <w:spacing w:after="0" w:line="480" w:lineRule="exact"/>
        <w:ind w:firstLine="560" w:firstLineChars="200"/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instrText xml:space="preserve"> HYPERLINK "mailto:1、响应文件pdf电子版加密在谈判前一天发送至招标人指定邮箱（3205342477@qq.com)，纸质版响应文件线上招标后邮寄。递交的截止时间（投标截止时间，下同）为2024年4月8日10时0分。"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1、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按采购人要求制定谈判文件，若谈判人制定的谈判文件不符合采购人要求，采购人有权拒绝其参与竞争性谈判。</w:t>
      </w:r>
    </w:p>
    <w:p>
      <w:pPr>
        <w:spacing w:after="0" w:line="480" w:lineRule="exact"/>
        <w:ind w:left="279" w:leftChars="127" w:firstLine="280" w:firstLineChars="1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响应文件递交的截止时间（投标截止时间，下同）为202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年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5月8</w:t>
      </w:r>
      <w:bookmarkStart w:id="0" w:name="_GoBack"/>
      <w:bookmarkEnd w:id="0"/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日9时00分前</w:t>
      </w:r>
      <w:r>
        <w:rPr>
          <w:rStyle w:val="8"/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fldChar w:fldCharType="end"/>
      </w:r>
    </w:p>
    <w:p>
      <w:pPr>
        <w:numPr>
          <w:ilvl w:val="0"/>
          <w:numId w:val="0"/>
        </w:numPr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逾期送达的、未送达指定地点的或者不按照要求密封的响应文件，招标人将予以拒收。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、谈判时间及地点</w:t>
      </w:r>
    </w:p>
    <w:p>
      <w:pPr>
        <w:autoSpaceDE w:val="0"/>
        <w:autoSpaceDN w:val="0"/>
        <w:adjustRightInd w:val="0"/>
        <w:spacing w:after="0" w:line="48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谈判公告期2025年4月29日至5月7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结束，招标时间为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月8日9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时00分。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济钢集团山东建设公司工程有限公司三楼招标室。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济南市历城区工业北路14980号）</w:t>
      </w:r>
    </w:p>
    <w:p>
      <w:pPr>
        <w:autoSpaceDE w:val="0"/>
        <w:autoSpaceDN w:val="0"/>
        <w:adjustRightInd w:val="0"/>
        <w:spacing w:after="0" w:line="480" w:lineRule="exact"/>
        <w:ind w:firstLine="562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、联系方式</w:t>
      </w:r>
    </w:p>
    <w:p>
      <w:pPr>
        <w:autoSpaceDE w:val="0"/>
        <w:autoSpaceDN w:val="0"/>
        <w:adjustRightInd w:val="0"/>
        <w:spacing w:after="0" w:line="480" w:lineRule="exact"/>
        <w:ind w:firstLine="495" w:firstLineChars="177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1.谈判联系人：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侯先生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13188936021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>
      <w:pPr>
        <w:autoSpaceDE w:val="0"/>
        <w:autoSpaceDN w:val="0"/>
        <w:adjustRightInd w:val="0"/>
        <w:spacing w:after="0" w:line="480" w:lineRule="exact"/>
        <w:ind w:firstLine="495" w:firstLineChars="177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2.业务联系人：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赵先生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15562086691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>
      <w:pPr>
        <w:ind w:firstLine="562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zh-CN" w:eastAsia="zh-CN"/>
        </w:rPr>
        <w:t>、公告中的谈判内容和其他要求以最终的竞争性谈判文件为准。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ookman 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1ZWVlZDM3YmVlNWJmZWViNmVjOWM3Yzk3MWYxYTMifQ=="/>
  </w:docVars>
  <w:rsids>
    <w:rsidRoot w:val="00000000"/>
    <w:rsid w:val="01000529"/>
    <w:rsid w:val="04A1246E"/>
    <w:rsid w:val="052A0C95"/>
    <w:rsid w:val="11161F88"/>
    <w:rsid w:val="143D39A6"/>
    <w:rsid w:val="160A0E01"/>
    <w:rsid w:val="17B66CB1"/>
    <w:rsid w:val="1AD00D8B"/>
    <w:rsid w:val="1D8B240E"/>
    <w:rsid w:val="20DD3B80"/>
    <w:rsid w:val="25396722"/>
    <w:rsid w:val="25EB42DB"/>
    <w:rsid w:val="2B0D009A"/>
    <w:rsid w:val="2BB060E2"/>
    <w:rsid w:val="32BD4079"/>
    <w:rsid w:val="32D81743"/>
    <w:rsid w:val="34EA4C31"/>
    <w:rsid w:val="369B1F31"/>
    <w:rsid w:val="373E2203"/>
    <w:rsid w:val="394D2283"/>
    <w:rsid w:val="3AD92FAE"/>
    <w:rsid w:val="3BDF35D3"/>
    <w:rsid w:val="415460C8"/>
    <w:rsid w:val="41EB0C35"/>
    <w:rsid w:val="46414324"/>
    <w:rsid w:val="484B5282"/>
    <w:rsid w:val="4CB5695B"/>
    <w:rsid w:val="4DFE2A04"/>
    <w:rsid w:val="51127F37"/>
    <w:rsid w:val="51294ACF"/>
    <w:rsid w:val="57CA4030"/>
    <w:rsid w:val="596422EB"/>
    <w:rsid w:val="5A3A13BF"/>
    <w:rsid w:val="6680473D"/>
    <w:rsid w:val="68637725"/>
    <w:rsid w:val="697F5FDF"/>
    <w:rsid w:val="6BDF5E9E"/>
    <w:rsid w:val="71C53A2F"/>
    <w:rsid w:val="72964253"/>
    <w:rsid w:val="79025FBC"/>
    <w:rsid w:val="7C5F1B5A"/>
    <w:rsid w:val="7CF85594"/>
    <w:rsid w:val="7DF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100" w:beforeAutospacing="1" w:after="120" w:line="276" w:lineRule="auto"/>
      <w:ind w:firstLine="210"/>
      <w:jc w:val="both"/>
    </w:pPr>
    <w:rPr>
      <w:kern w:val="2"/>
      <w:sz w:val="21"/>
      <w:szCs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宋体"/>
      <w:sz w:val="30"/>
    </w:rPr>
  </w:style>
  <w:style w:type="paragraph" w:styleId="4">
    <w:name w:val="Plain Text"/>
    <w:basedOn w:val="1"/>
    <w:next w:val="1"/>
    <w:qFormat/>
    <w:uiPriority w:val="0"/>
    <w:rPr>
      <w:rFonts w:ascii="宋体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rFonts w:ascii="ˎ̥" w:hAnsi="ˎ̥" w:eastAsia="宋体" w:cs="Times New Roman"/>
      <w:color w:val="000000"/>
      <w:sz w:val="24"/>
      <w:szCs w:val="24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1">
    <w:name w:val="font4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default" w:ascii="Bookman Old" w:hAnsi="Bookman Old" w:eastAsia="Bookman Old" w:cs="Bookman Old"/>
      <w:color w:val="000000"/>
      <w:sz w:val="20"/>
      <w:szCs w:val="20"/>
      <w:u w:val="none"/>
    </w:rPr>
  </w:style>
  <w:style w:type="character" w:customStyle="1" w:styleId="14">
    <w:name w:val="font6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796</Characters>
  <Lines>0</Lines>
  <Paragraphs>0</Paragraphs>
  <TotalTime>2</TotalTime>
  <ScaleCrop>false</ScaleCrop>
  <LinksUpToDate>false</LinksUpToDate>
  <CharactersWithSpaces>798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2024-07-17T06:51:00Z</dcterms:created>
  <dc:creator>ADMIN</dc:creator>
  <cp:lastModifiedBy>未知</cp:lastModifiedBy>
  <dcterms:modified xsi:type="dcterms:W3CDTF">2025-04-29T00:58:40Z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91B96306F9A94B95B98DB1BA7463EF63_12</vt:lpwstr>
  </property>
</Properties>
</file>